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36"/>
          <w:szCs w:val="36"/>
          <w:lang w:val="en-US" w:eastAsia="zh-CN" w:bidi="ar-SA"/>
        </w:rPr>
        <w:t>2022年度中央对北京转移支付</w:t>
      </w:r>
    </w:p>
    <w:p>
      <w:pPr>
        <w:pStyle w:val="7"/>
        <w:rPr>
          <w:b w:val="0"/>
        </w:rPr>
      </w:pPr>
      <w:r>
        <w:rPr>
          <w:rFonts w:hint="eastAsia" w:ascii="宋体" w:hAnsi="宋体" w:eastAsia="宋体" w:cs="宋体"/>
          <w:b w:val="0"/>
          <w:bCs/>
          <w:kern w:val="2"/>
          <w:sz w:val="36"/>
          <w:szCs w:val="36"/>
          <w:lang w:val="en-US" w:eastAsia="zh-CN" w:bidi="ar-SA"/>
        </w:rPr>
        <w:t>预算执行情况</w:t>
      </w:r>
      <w:r>
        <w:rPr>
          <w:rFonts w:hint="eastAsia" w:ascii="宋体" w:hAnsi="宋体" w:eastAsia="宋体" w:cs="宋体"/>
          <w:b w:val="0"/>
          <w:sz w:val="36"/>
          <w:szCs w:val="36"/>
        </w:rPr>
        <w:t>绩效自评报告</w:t>
      </w:r>
    </w:p>
    <w:p>
      <w:pPr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bCs/>
          <w:sz w:val="24"/>
        </w:rPr>
      </w:pPr>
    </w:p>
    <w:p>
      <w:pPr>
        <w:spacing w:line="360" w:lineRule="auto"/>
        <w:ind w:firstLine="600" w:firstLineChars="200"/>
        <w:jc w:val="left"/>
        <w:rPr>
          <w:rFonts w:hint="default" w:ascii="黑体" w:hAnsi="黑体" w:eastAsia="黑体" w:cs="黑体"/>
          <w:bCs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Cs w:val="30"/>
        </w:rPr>
        <w:t>一、</w:t>
      </w:r>
      <w:r>
        <w:rPr>
          <w:rFonts w:hint="eastAsia" w:ascii="黑体" w:hAnsi="黑体" w:eastAsia="黑体" w:cs="黑体"/>
          <w:bCs/>
          <w:szCs w:val="30"/>
          <w:lang w:val="en-US" w:eastAsia="zh-CN"/>
        </w:rPr>
        <w:t>转移支付基本情况</w:t>
      </w:r>
    </w:p>
    <w:p>
      <w:pPr>
        <w:spacing w:line="360" w:lineRule="auto"/>
        <w:ind w:firstLine="600" w:firstLineChars="200"/>
        <w:jc w:val="left"/>
        <w:outlineLvl w:val="0"/>
        <w:rPr>
          <w:rFonts w:hint="default" w:ascii="楷体" w:hAnsi="楷体" w:eastAsia="楷体" w:cs="楷体"/>
          <w:bCs/>
          <w:szCs w:val="30"/>
          <w:lang w:val="en-US" w:eastAsia="zh-CN"/>
        </w:rPr>
      </w:pPr>
      <w:r>
        <w:rPr>
          <w:rFonts w:hint="eastAsia" w:ascii="楷体" w:hAnsi="楷体" w:eastAsia="楷体" w:cs="楷体"/>
          <w:bCs/>
          <w:szCs w:val="30"/>
          <w:lang w:eastAsia="zh-CN"/>
        </w:rPr>
        <w:t>（</w:t>
      </w:r>
      <w:r>
        <w:rPr>
          <w:rFonts w:hint="eastAsia" w:ascii="楷体" w:hAnsi="楷体" w:eastAsia="楷体" w:cs="楷体"/>
          <w:bCs/>
          <w:szCs w:val="30"/>
          <w:lang w:val="en-US" w:eastAsia="zh-CN"/>
        </w:rPr>
        <w:t>一</w:t>
      </w:r>
      <w:r>
        <w:rPr>
          <w:rFonts w:hint="eastAsia" w:ascii="楷体" w:hAnsi="楷体" w:eastAsia="楷体" w:cs="楷体"/>
          <w:bCs/>
          <w:szCs w:val="30"/>
          <w:lang w:eastAsia="zh-CN"/>
        </w:rPr>
        <w:t>）</w:t>
      </w:r>
      <w:r>
        <w:rPr>
          <w:rFonts w:hint="eastAsia" w:ascii="楷体" w:hAnsi="楷体" w:eastAsia="楷体" w:cs="楷体"/>
          <w:bCs/>
          <w:szCs w:val="30"/>
          <w:lang w:val="en-US" w:eastAsia="zh-CN"/>
        </w:rPr>
        <w:t>转移支付概况</w:t>
      </w:r>
    </w:p>
    <w:p>
      <w:pPr>
        <w:spacing w:line="360" w:lineRule="auto"/>
        <w:ind w:firstLine="600" w:firstLineChars="200"/>
        <w:jc w:val="left"/>
        <w:outlineLvl w:val="0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2022年北京市商业学校（北京祥龙资产经营有限责任公司党校）现代职业教育质量提升中央资金项目共计两个，具体情况如下：</w:t>
      </w:r>
    </w:p>
    <w:p>
      <w:pPr>
        <w:spacing w:line="360" w:lineRule="auto"/>
        <w:ind w:firstLine="600" w:firstLineChars="200"/>
        <w:jc w:val="left"/>
        <w:outlineLvl w:val="0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1、电子商务教学基地改造项目，预算资金总额为350万元；</w:t>
      </w:r>
    </w:p>
    <w:p>
      <w:pPr>
        <w:spacing w:line="360" w:lineRule="auto"/>
        <w:ind w:firstLine="600" w:firstLineChars="200"/>
        <w:jc w:val="left"/>
        <w:outlineLvl w:val="0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2、房屋租赁（追加）项目，预算资金总额为20万元；</w:t>
      </w:r>
    </w:p>
    <w:p>
      <w:pPr>
        <w:spacing w:line="360" w:lineRule="auto"/>
        <w:ind w:firstLine="600" w:firstLineChars="200"/>
        <w:jc w:val="left"/>
        <w:outlineLvl w:val="0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我校所有中央资金项目专项资金按期全部下达，并严格按照预期绩效目标进行分解和执行，所有项目均如期完成年度绩效目标，达到预期效果。</w:t>
      </w:r>
    </w:p>
    <w:p>
      <w:pPr>
        <w:spacing w:line="360" w:lineRule="auto"/>
        <w:ind w:firstLine="600" w:firstLineChars="200"/>
        <w:jc w:val="left"/>
        <w:outlineLvl w:val="0"/>
        <w:rPr>
          <w:rFonts w:ascii="楷体" w:hAnsi="楷体" w:eastAsia="楷体" w:cs="楷体"/>
          <w:bCs/>
          <w:szCs w:val="30"/>
        </w:rPr>
      </w:pPr>
      <w:r>
        <w:rPr>
          <w:rFonts w:hint="eastAsia" w:ascii="楷体" w:hAnsi="楷体" w:eastAsia="楷体" w:cs="楷体"/>
          <w:bCs/>
          <w:szCs w:val="30"/>
        </w:rPr>
        <w:t>（</w:t>
      </w:r>
      <w:r>
        <w:rPr>
          <w:rFonts w:hint="eastAsia" w:ascii="楷体" w:hAnsi="楷体" w:eastAsia="楷体" w:cs="楷体"/>
          <w:bCs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Cs w:val="30"/>
        </w:rPr>
        <w:t>）资金投入情况分析</w:t>
      </w:r>
      <w:bookmarkStart w:id="1" w:name="_GoBack"/>
      <w:bookmarkEnd w:id="1"/>
    </w:p>
    <w:p>
      <w:pPr>
        <w:spacing w:line="360" w:lineRule="auto"/>
        <w:ind w:firstLine="600" w:firstLineChars="200"/>
        <w:jc w:val="left"/>
        <w:outlineLvl w:val="0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1.项目资金到位情况分析</w:t>
      </w:r>
    </w:p>
    <w:p>
      <w:pPr>
        <w:spacing w:line="360" w:lineRule="auto"/>
        <w:ind w:firstLine="600" w:firstLineChars="200"/>
        <w:jc w:val="left"/>
        <w:outlineLvl w:val="0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bookmarkStart w:id="0" w:name="_Hlk98778566"/>
      <w:r>
        <w:rPr>
          <w:rFonts w:hint="eastAsia" w:ascii="仿宋" w:hAnsi="仿宋" w:eastAsia="仿宋" w:cs="仿宋"/>
          <w:bCs/>
          <w:szCs w:val="30"/>
        </w:rPr>
        <w:t>电子商务教学基地改造专项资金350万元，</w:t>
      </w:r>
      <w:bookmarkEnd w:id="0"/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房屋租赁（追加）专项资金20万元，</w:t>
      </w:r>
      <w:r>
        <w:rPr>
          <w:rFonts w:hint="eastAsia" w:ascii="仿宋" w:hAnsi="仿宋" w:eastAsia="仿宋" w:cs="仿宋"/>
          <w:bCs/>
          <w:szCs w:val="30"/>
        </w:rPr>
        <w:t>所有项目经费于2022年一次性全额到达项目执行学校，即北京市商业学校（北京祥龙资产经营有限责任公司党校）。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2.项目资金执行情况分析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（1）电子商务教学基地改造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Cs w:val="30"/>
        </w:rPr>
        <w:t>本项目按照要求按时完成支付，执行数为348.05万元，</w:t>
      </w: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项目资金执行率为99.44%,未支付部分为预算金额与中标金额的差额。</w:t>
      </w:r>
    </w:p>
    <w:p>
      <w:pPr>
        <w:numPr>
          <w:ilvl w:val="0"/>
          <w:numId w:val="1"/>
        </w:num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房屋租赁（追加）</w:t>
      </w:r>
    </w:p>
    <w:p>
      <w:pPr>
        <w:spacing w:line="360" w:lineRule="auto"/>
        <w:jc w:val="left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Cs/>
          <w:szCs w:val="30"/>
        </w:rPr>
        <w:t>本项目按照要求按时完成支付，执行数为20万元，</w:t>
      </w: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项目资金执行率为100%。</w:t>
      </w:r>
    </w:p>
    <w:p>
      <w:pPr>
        <w:spacing w:line="360" w:lineRule="auto"/>
        <w:ind w:firstLine="600" w:firstLineChars="200"/>
        <w:jc w:val="left"/>
        <w:outlineLvl w:val="0"/>
        <w:rPr>
          <w:rFonts w:ascii="楷体" w:hAnsi="楷体" w:eastAsia="楷体" w:cs="楷体"/>
          <w:bCs/>
          <w:szCs w:val="30"/>
        </w:rPr>
      </w:pPr>
      <w:r>
        <w:rPr>
          <w:rFonts w:hint="eastAsia" w:ascii="楷体" w:hAnsi="楷体" w:eastAsia="楷体" w:cs="楷体"/>
          <w:bCs/>
          <w:szCs w:val="30"/>
        </w:rPr>
        <w:t>（</w:t>
      </w:r>
      <w:r>
        <w:rPr>
          <w:rFonts w:hint="eastAsia" w:ascii="楷体" w:hAnsi="楷体" w:eastAsia="楷体" w:cs="楷体"/>
          <w:bCs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bCs/>
          <w:szCs w:val="30"/>
        </w:rPr>
        <w:t>）项目资金管理情况分析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color w:val="FF0000"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项目执行人员认真学习财政局相关文件，严格遵守《项目管理办法》，项目经费</w:t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>按时下达，</w:t>
      </w:r>
      <w:r>
        <w:rPr>
          <w:rFonts w:hint="eastAsia" w:ascii="仿宋" w:hAnsi="仿宋" w:eastAsia="仿宋" w:cs="仿宋"/>
          <w:bCs/>
          <w:szCs w:val="30"/>
        </w:rPr>
        <w:t>做到专人管理、专款专用，经费支出以项目申报并批复内容为依据，并按照要求进行公开招投标，支付前需填写项目经费支出预算表，经费支付严格按照程序进行层层审批。为加强内控管理，项目经费内部审计，项目档案完整，确保项目执行的合规性。</w:t>
      </w:r>
    </w:p>
    <w:p>
      <w:pPr>
        <w:numPr>
          <w:ilvl w:val="0"/>
          <w:numId w:val="2"/>
        </w:numPr>
        <w:spacing w:line="360" w:lineRule="auto"/>
        <w:ind w:firstLine="600" w:firstLineChars="200"/>
        <w:jc w:val="left"/>
        <w:rPr>
          <w:rFonts w:hint="eastAsia" w:ascii="黑体" w:hAnsi="黑体" w:eastAsia="黑体" w:cs="黑体"/>
          <w:bCs/>
          <w:szCs w:val="30"/>
        </w:rPr>
      </w:pPr>
      <w:r>
        <w:rPr>
          <w:rFonts w:hint="eastAsia" w:ascii="黑体" w:hAnsi="黑体" w:eastAsia="黑体" w:cs="黑体"/>
          <w:bCs/>
          <w:szCs w:val="30"/>
          <w:lang w:val="en-US" w:eastAsia="zh-CN"/>
        </w:rPr>
        <w:t>预算</w:t>
      </w:r>
      <w:r>
        <w:rPr>
          <w:rFonts w:hint="eastAsia" w:ascii="黑体" w:hAnsi="黑体" w:eastAsia="黑体" w:cs="黑体"/>
          <w:bCs/>
          <w:szCs w:val="30"/>
        </w:rPr>
        <w:t>绩效目标</w:t>
      </w:r>
      <w:r>
        <w:rPr>
          <w:rFonts w:hint="eastAsia" w:ascii="黑体" w:hAnsi="黑体" w:eastAsia="黑体" w:cs="黑体"/>
          <w:bCs/>
          <w:szCs w:val="30"/>
          <w:lang w:val="en-US" w:eastAsia="zh-CN"/>
        </w:rPr>
        <w:t>实现</w:t>
      </w:r>
      <w:r>
        <w:rPr>
          <w:rFonts w:hint="eastAsia" w:ascii="黑体" w:hAnsi="黑体" w:eastAsia="黑体" w:cs="黑体"/>
          <w:bCs/>
          <w:szCs w:val="30"/>
        </w:rPr>
        <w:t>情况</w:t>
      </w:r>
    </w:p>
    <w:p>
      <w:pPr>
        <w:spacing w:line="360" w:lineRule="auto"/>
        <w:ind w:firstLine="600" w:firstLineChars="200"/>
        <w:jc w:val="left"/>
        <w:outlineLvl w:val="0"/>
        <w:rPr>
          <w:rFonts w:hint="default" w:ascii="楷体" w:hAnsi="楷体" w:eastAsia="楷体" w:cs="楷体"/>
          <w:bCs/>
          <w:szCs w:val="30"/>
          <w:lang w:val="en-US" w:eastAsia="zh-CN"/>
        </w:rPr>
      </w:pPr>
      <w:r>
        <w:rPr>
          <w:rFonts w:hint="eastAsia" w:ascii="楷体" w:hAnsi="楷体" w:eastAsia="楷体" w:cs="楷体"/>
          <w:bCs/>
          <w:szCs w:val="30"/>
          <w:lang w:val="en-US" w:eastAsia="zh-CN"/>
        </w:rPr>
        <w:t>（一）总体绩效目标完成情况分析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1、电子商务教学基地改造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截止2022年12月，所有绩效目标按照要求已全部按时完成，改造内容验收合格并投入使用，更好地服务师生，满足教育教学需求，</w:t>
      </w:r>
      <w:r>
        <w:rPr>
          <w:rFonts w:hint="eastAsia" w:ascii="仿宋" w:hAnsi="仿宋" w:eastAsia="仿宋" w:cs="仿宋"/>
          <w:bCs/>
          <w:szCs w:val="30"/>
        </w:rPr>
        <w:t>项目数量指标、质量指标、时效指标等均已完成。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2、房屋租赁（追加）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截止2022年12月，所有绩效目标按照要求已全部按时完成，按合同约定支付租金，满足了学校教育教学需求，</w:t>
      </w:r>
      <w:r>
        <w:rPr>
          <w:rFonts w:hint="eastAsia" w:ascii="仿宋" w:hAnsi="仿宋" w:eastAsia="仿宋" w:cs="仿宋"/>
          <w:bCs/>
          <w:szCs w:val="30"/>
        </w:rPr>
        <w:t>项目数量指标、质量指标、时效指标等均已完成。</w:t>
      </w:r>
    </w:p>
    <w:p>
      <w:pPr>
        <w:spacing w:line="360" w:lineRule="auto"/>
        <w:ind w:firstLine="600" w:firstLineChars="200"/>
        <w:jc w:val="left"/>
        <w:outlineLvl w:val="0"/>
        <w:rPr>
          <w:rFonts w:ascii="楷体" w:hAnsi="楷体" w:eastAsia="楷体" w:cs="楷体"/>
          <w:bCs/>
          <w:szCs w:val="30"/>
        </w:rPr>
      </w:pPr>
      <w:r>
        <w:rPr>
          <w:rFonts w:hint="eastAsia" w:ascii="楷体" w:hAnsi="楷体" w:eastAsia="楷体" w:cs="楷体"/>
          <w:bCs/>
          <w:szCs w:val="30"/>
        </w:rPr>
        <w:t>（</w:t>
      </w:r>
      <w:r>
        <w:rPr>
          <w:rFonts w:hint="eastAsia" w:ascii="楷体" w:hAnsi="楷体" w:eastAsia="楷体" w:cs="楷体"/>
          <w:bCs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Cs w:val="30"/>
        </w:rPr>
        <w:t>）绩效指标完成情况分析</w:t>
      </w:r>
    </w:p>
    <w:p>
      <w:pPr>
        <w:numPr>
          <w:ilvl w:val="0"/>
          <w:numId w:val="3"/>
        </w:num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电子商务教学基地改造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（1）产出指标完成情况分析</w:t>
      </w:r>
    </w:p>
    <w:p>
      <w:pPr>
        <w:numPr>
          <w:ilvl w:val="0"/>
          <w:numId w:val="4"/>
        </w:numPr>
        <w:spacing w:line="360" w:lineRule="auto"/>
        <w:ind w:left="480" w:firstLine="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数量指标</w:t>
      </w:r>
    </w:p>
    <w:p>
      <w:pPr>
        <w:spacing w:line="360" w:lineRule="auto"/>
        <w:ind w:left="48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完成1254平米电子商务教学基地改造。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2）质量指标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项目竣工验收合格率100%，符合国家验收标准。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3）时效指标</w:t>
      </w:r>
    </w:p>
    <w:p>
      <w:pPr>
        <w:spacing w:line="360" w:lineRule="auto"/>
        <w:ind w:left="48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按时完成招标采购、施工、验收等环节内容。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4）成本指标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项目执行金额在预算金额范围内，不存在超额支付的问题。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（2）效益指标完成情况分析</w:t>
      </w:r>
    </w:p>
    <w:p>
      <w:pPr>
        <w:numPr>
          <w:ilvl w:val="0"/>
          <w:numId w:val="5"/>
        </w:num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经济效益</w:t>
      </w:r>
    </w:p>
    <w:p>
      <w:pPr>
        <w:spacing w:line="360" w:lineRule="auto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 xml:space="preserve">    提升了电子商务实训基地的使用率，可满足社会企事业单位干部职工培训需求，合理分配教室，发挥教室机房的多功能使用，提升了培训人次。</w:t>
      </w:r>
    </w:p>
    <w:p>
      <w:pPr>
        <w:numPr>
          <w:ilvl w:val="0"/>
          <w:numId w:val="5"/>
        </w:num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社会效益</w:t>
      </w:r>
    </w:p>
    <w:p>
      <w:p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改善了培训环境，为首都经济发展培养复合型人才。</w:t>
      </w:r>
    </w:p>
    <w:p>
      <w:pPr>
        <w:numPr>
          <w:ilvl w:val="0"/>
          <w:numId w:val="5"/>
        </w:num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可持续影响</w:t>
      </w:r>
    </w:p>
    <w:p>
      <w:p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项目实施完成并投入使用后，可持续使用8年。</w:t>
      </w:r>
    </w:p>
    <w:p>
      <w:p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（3）满意度指标完成情况分析</w:t>
      </w:r>
    </w:p>
    <w:p>
      <w:p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教学基地投入使用后，学生学习环境和学习效果显著提升，</w:t>
      </w:r>
    </w:p>
    <w:p>
      <w:pPr>
        <w:spacing w:line="360" w:lineRule="auto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学生满意度达到98%。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2、房屋租赁（追加）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（1）产出指标完成情况分析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1）数量指标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完成1254平米电子商务教学基地租赁。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2）质量指标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项目验收合格率100%。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3）时效指标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按时完成方案制定、前期准备、签署协议等环节内容。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4）成本指标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项目执行金额在预算金额范围内，不存在超额支付的问题。</w:t>
      </w:r>
    </w:p>
    <w:p>
      <w:pPr>
        <w:spacing w:line="360" w:lineRule="auto"/>
        <w:ind w:left="600" w:left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（2）效益指标完成情况分析</w:t>
      </w:r>
    </w:p>
    <w:p>
      <w:pPr>
        <w:spacing w:line="360" w:lineRule="auto"/>
        <w:ind w:left="6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1）社会效益指标</w:t>
      </w:r>
    </w:p>
    <w:p>
      <w:pPr>
        <w:spacing w:line="360" w:lineRule="auto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 xml:space="preserve">    提升了学校办学规模，提高了学校综合办学能力，提升了教育教学质量，推动职业教育规模化、集团化的进程，达到为政府、企业、社会服务，建设职业技能型人才培养基地的目标，进一步发挥学校的示范和引领作用，为首都职业教育发展贡献力量。专业实训实践基地的承载，提升实践教学水平，打造技术技能人才培养基地，保障职业培训。</w:t>
      </w:r>
    </w:p>
    <w:p>
      <w:pPr>
        <w:pStyle w:val="16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社会效益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专业实训实践基地的承载，提升实践教学水平，打造技术技能人才培养基地，保障职业培训和社会服务规模。办学规模提高，达到为政府、企业、社会服务，建设职业技能型人才培养基地的目标。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满意度指标完成情况分析</w:t>
      </w:r>
    </w:p>
    <w:p>
      <w:pPr>
        <w:pStyle w:val="16"/>
        <w:spacing w:line="360" w:lineRule="auto"/>
        <w:ind w:left="420" w:firstLine="0" w:firstLineChars="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教学基地投入使用后，学生学习环境和学习效果显著提升，</w:t>
      </w:r>
    </w:p>
    <w:p>
      <w:pPr>
        <w:spacing w:line="360" w:lineRule="auto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</w:rPr>
        <w:t>学生满意度达到98%。</w:t>
      </w:r>
    </w:p>
    <w:p>
      <w:pPr>
        <w:spacing w:line="360" w:lineRule="auto"/>
        <w:ind w:firstLine="600" w:firstLineChars="200"/>
        <w:jc w:val="left"/>
        <w:rPr>
          <w:rFonts w:hint="default" w:ascii="黑体" w:hAnsi="黑体" w:eastAsia="黑体" w:cs="黑体"/>
          <w:bCs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Cs w:val="30"/>
        </w:rPr>
        <w:t>三、</w:t>
      </w:r>
      <w:r>
        <w:rPr>
          <w:rFonts w:hint="eastAsia" w:ascii="黑体" w:hAnsi="黑体" w:eastAsia="黑体" w:cs="黑体"/>
          <w:bCs/>
          <w:szCs w:val="30"/>
          <w:lang w:val="en-US" w:eastAsia="zh-CN"/>
        </w:rPr>
        <w:t>绩效自评结论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bCs/>
          <w:szCs w:val="30"/>
        </w:rPr>
      </w:pPr>
      <w:r>
        <w:rPr>
          <w:rFonts w:hint="eastAsia" w:ascii="仿宋" w:hAnsi="仿宋" w:eastAsia="仿宋" w:cs="仿宋"/>
          <w:bCs/>
          <w:color w:val="000000" w:themeColor="text1"/>
          <w:szCs w:val="30"/>
          <w14:textFill>
            <w14:solidFill>
              <w14:schemeClr w14:val="tx1"/>
            </w14:solidFill>
          </w14:textFill>
        </w:rPr>
        <w:t>北京市商业学校（北京祥龙资产经营有限责任公司党校）</w:t>
      </w:r>
      <w:r>
        <w:rPr>
          <w:rFonts w:hint="eastAsia" w:ascii="仿宋_GB2312"/>
          <w:bCs/>
          <w:szCs w:val="30"/>
        </w:rPr>
        <w:t>所有</w:t>
      </w:r>
      <w:r>
        <w:rPr>
          <w:rFonts w:hint="eastAsia" w:ascii="仿宋_GB2312"/>
          <w:bCs/>
          <w:szCs w:val="30"/>
          <w:lang w:val="en-US" w:eastAsia="zh-CN"/>
        </w:rPr>
        <w:t>转移支付</w:t>
      </w:r>
      <w:r>
        <w:rPr>
          <w:rFonts w:hint="eastAsia" w:ascii="仿宋_GB2312"/>
          <w:bCs/>
          <w:szCs w:val="30"/>
        </w:rPr>
        <w:t>项目</w:t>
      </w:r>
      <w:r>
        <w:rPr>
          <w:rFonts w:hint="eastAsia" w:ascii="仿宋_GB2312"/>
          <w:bCs/>
          <w:szCs w:val="30"/>
          <w:lang w:val="en-US" w:eastAsia="zh-CN"/>
        </w:rPr>
        <w:t>均</w:t>
      </w:r>
      <w:r>
        <w:rPr>
          <w:rFonts w:hint="eastAsia" w:ascii="仿宋_GB2312"/>
          <w:bCs/>
          <w:szCs w:val="30"/>
        </w:rPr>
        <w:t>按照进度全部执行完毕，无偏离绩效目标的情况</w:t>
      </w:r>
      <w:r>
        <w:rPr>
          <w:rFonts w:hint="eastAsia" w:ascii="仿宋_GB2312"/>
          <w:bCs/>
          <w:szCs w:val="30"/>
          <w:lang w:eastAsia="zh-CN"/>
        </w:rPr>
        <w:t>，</w:t>
      </w:r>
      <w:r>
        <w:rPr>
          <w:rFonts w:hint="eastAsia" w:ascii="仿宋_GB2312"/>
          <w:bCs/>
          <w:szCs w:val="30"/>
          <w:lang w:val="en-US" w:eastAsia="zh-CN"/>
        </w:rPr>
        <w:t>总体情况良好。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bCs/>
          <w:szCs w:val="30"/>
        </w:rPr>
      </w:pPr>
      <w:r>
        <w:rPr>
          <w:rFonts w:hint="eastAsia" w:ascii="仿宋" w:hAnsi="仿宋" w:eastAsia="仿宋" w:cs="仿宋"/>
          <w:bCs/>
          <w:szCs w:val="30"/>
          <w:lang w:val="en-US" w:eastAsia="zh-CN"/>
        </w:rPr>
        <w:t>学</w:t>
      </w:r>
      <w:r>
        <w:rPr>
          <w:rFonts w:hint="eastAsia" w:ascii="仿宋" w:hAnsi="仿宋" w:eastAsia="仿宋" w:cs="仿宋"/>
          <w:bCs/>
          <w:szCs w:val="30"/>
        </w:rPr>
        <w:t>校</w:t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>将</w:t>
      </w:r>
      <w:r>
        <w:rPr>
          <w:rFonts w:hint="eastAsia" w:ascii="仿宋" w:hAnsi="仿宋" w:eastAsia="仿宋" w:cs="仿宋"/>
          <w:bCs/>
          <w:szCs w:val="30"/>
        </w:rPr>
        <w:t>继续强化绩效评价结果应用，积极运用绩效评价结果，贯彻落实项目管理要求，进一步提升项目资金的使用效能，提升培训质量，进一步改进和完善项目资金使用管理；项目建设完毕投入使用后，将提高使用率，并力争实现开放共享，实现社会效益的进一步提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0854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2A760"/>
    <w:multiLevelType w:val="singleLevel"/>
    <w:tmpl w:val="C092A76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C43AE124"/>
    <w:multiLevelType w:val="singleLevel"/>
    <w:tmpl w:val="C43AE12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9A92234"/>
    <w:multiLevelType w:val="singleLevel"/>
    <w:tmpl w:val="E9A922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2A57BD"/>
    <w:multiLevelType w:val="singleLevel"/>
    <w:tmpl w:val="FD2A57BD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5952DF8"/>
    <w:multiLevelType w:val="multilevel"/>
    <w:tmpl w:val="45952DF8"/>
    <w:lvl w:ilvl="0" w:tentative="0">
      <w:start w:val="2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76C0447D"/>
    <w:multiLevelType w:val="singleLevel"/>
    <w:tmpl w:val="76C044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WRjNzk2NzdmZTM0MDI2N2NlMGE2MDNhMzM5ODkifQ=="/>
  </w:docVars>
  <w:rsids>
    <w:rsidRoot w:val="00F57F82"/>
    <w:rsid w:val="000101E1"/>
    <w:rsid w:val="00016045"/>
    <w:rsid w:val="00034C97"/>
    <w:rsid w:val="00065F97"/>
    <w:rsid w:val="000732DA"/>
    <w:rsid w:val="00075CDC"/>
    <w:rsid w:val="00097E03"/>
    <w:rsid w:val="000A3CF8"/>
    <w:rsid w:val="000B1E8F"/>
    <w:rsid w:val="000B6964"/>
    <w:rsid w:val="000F63C1"/>
    <w:rsid w:val="00103D16"/>
    <w:rsid w:val="00111638"/>
    <w:rsid w:val="00111928"/>
    <w:rsid w:val="00117D59"/>
    <w:rsid w:val="0012041C"/>
    <w:rsid w:val="00121CB7"/>
    <w:rsid w:val="00135FB2"/>
    <w:rsid w:val="00152341"/>
    <w:rsid w:val="00164D84"/>
    <w:rsid w:val="00173016"/>
    <w:rsid w:val="0017509C"/>
    <w:rsid w:val="001808CA"/>
    <w:rsid w:val="001904D3"/>
    <w:rsid w:val="001A4E46"/>
    <w:rsid w:val="001C508D"/>
    <w:rsid w:val="001E03FE"/>
    <w:rsid w:val="002123E8"/>
    <w:rsid w:val="002338D1"/>
    <w:rsid w:val="00250053"/>
    <w:rsid w:val="0026443E"/>
    <w:rsid w:val="0028279F"/>
    <w:rsid w:val="0029569C"/>
    <w:rsid w:val="002A5FA7"/>
    <w:rsid w:val="002B3EEF"/>
    <w:rsid w:val="002B54E4"/>
    <w:rsid w:val="002C5A36"/>
    <w:rsid w:val="002E5562"/>
    <w:rsid w:val="002F130D"/>
    <w:rsid w:val="002F6705"/>
    <w:rsid w:val="00301FC0"/>
    <w:rsid w:val="0030367D"/>
    <w:rsid w:val="00310CFC"/>
    <w:rsid w:val="00315768"/>
    <w:rsid w:val="00336A16"/>
    <w:rsid w:val="003663A3"/>
    <w:rsid w:val="00387DD5"/>
    <w:rsid w:val="003B0980"/>
    <w:rsid w:val="003C0564"/>
    <w:rsid w:val="003C6374"/>
    <w:rsid w:val="003D025D"/>
    <w:rsid w:val="003D2CB9"/>
    <w:rsid w:val="003E6D68"/>
    <w:rsid w:val="00411B5A"/>
    <w:rsid w:val="00413F12"/>
    <w:rsid w:val="00417C70"/>
    <w:rsid w:val="00426F12"/>
    <w:rsid w:val="004459C9"/>
    <w:rsid w:val="004560C8"/>
    <w:rsid w:val="00493012"/>
    <w:rsid w:val="004A4438"/>
    <w:rsid w:val="004D2137"/>
    <w:rsid w:val="004D5AFB"/>
    <w:rsid w:val="004E296F"/>
    <w:rsid w:val="0052783A"/>
    <w:rsid w:val="00544B8F"/>
    <w:rsid w:val="00567659"/>
    <w:rsid w:val="005A30B4"/>
    <w:rsid w:val="005C6624"/>
    <w:rsid w:val="005D1514"/>
    <w:rsid w:val="005D1AC9"/>
    <w:rsid w:val="005D7CC3"/>
    <w:rsid w:val="005F3FAA"/>
    <w:rsid w:val="00617031"/>
    <w:rsid w:val="006218A1"/>
    <w:rsid w:val="00634DFA"/>
    <w:rsid w:val="00682A10"/>
    <w:rsid w:val="0068566B"/>
    <w:rsid w:val="006A30E4"/>
    <w:rsid w:val="006A74BF"/>
    <w:rsid w:val="006B1CFE"/>
    <w:rsid w:val="006C1CEE"/>
    <w:rsid w:val="006C3DCB"/>
    <w:rsid w:val="006C452B"/>
    <w:rsid w:val="006D5A86"/>
    <w:rsid w:val="00700C15"/>
    <w:rsid w:val="007036AD"/>
    <w:rsid w:val="00704E45"/>
    <w:rsid w:val="00707C2E"/>
    <w:rsid w:val="00722322"/>
    <w:rsid w:val="00722A7D"/>
    <w:rsid w:val="00724A6B"/>
    <w:rsid w:val="0073331B"/>
    <w:rsid w:val="00733C2D"/>
    <w:rsid w:val="00756C7F"/>
    <w:rsid w:val="00784875"/>
    <w:rsid w:val="0078558E"/>
    <w:rsid w:val="00792A0B"/>
    <w:rsid w:val="00795F3C"/>
    <w:rsid w:val="007C548D"/>
    <w:rsid w:val="007D7E6E"/>
    <w:rsid w:val="007E2B1E"/>
    <w:rsid w:val="008005B1"/>
    <w:rsid w:val="008028FA"/>
    <w:rsid w:val="008244BD"/>
    <w:rsid w:val="00840E24"/>
    <w:rsid w:val="00842795"/>
    <w:rsid w:val="00850797"/>
    <w:rsid w:val="00853FC4"/>
    <w:rsid w:val="008720F1"/>
    <w:rsid w:val="00882EFA"/>
    <w:rsid w:val="008854EB"/>
    <w:rsid w:val="008B2F56"/>
    <w:rsid w:val="008E478B"/>
    <w:rsid w:val="008F0996"/>
    <w:rsid w:val="00903791"/>
    <w:rsid w:val="009256A2"/>
    <w:rsid w:val="0093102D"/>
    <w:rsid w:val="009520E0"/>
    <w:rsid w:val="00955086"/>
    <w:rsid w:val="009600BD"/>
    <w:rsid w:val="00961C83"/>
    <w:rsid w:val="009922BC"/>
    <w:rsid w:val="0099724E"/>
    <w:rsid w:val="009B211C"/>
    <w:rsid w:val="009E0D8C"/>
    <w:rsid w:val="009E1193"/>
    <w:rsid w:val="009E1D65"/>
    <w:rsid w:val="00A02AF3"/>
    <w:rsid w:val="00A03700"/>
    <w:rsid w:val="00A25077"/>
    <w:rsid w:val="00A36EFA"/>
    <w:rsid w:val="00A37F1F"/>
    <w:rsid w:val="00A610CC"/>
    <w:rsid w:val="00A731A4"/>
    <w:rsid w:val="00A80E7B"/>
    <w:rsid w:val="00A8737E"/>
    <w:rsid w:val="00AA19AF"/>
    <w:rsid w:val="00AE0A9B"/>
    <w:rsid w:val="00B62F77"/>
    <w:rsid w:val="00B83D39"/>
    <w:rsid w:val="00BA42B6"/>
    <w:rsid w:val="00BC1650"/>
    <w:rsid w:val="00BC6882"/>
    <w:rsid w:val="00BD3FE0"/>
    <w:rsid w:val="00BD72F7"/>
    <w:rsid w:val="00BE4C2E"/>
    <w:rsid w:val="00BE58CF"/>
    <w:rsid w:val="00BF3B3E"/>
    <w:rsid w:val="00C1318E"/>
    <w:rsid w:val="00C347D8"/>
    <w:rsid w:val="00C40D2D"/>
    <w:rsid w:val="00C51C32"/>
    <w:rsid w:val="00CA5578"/>
    <w:rsid w:val="00CA5A2C"/>
    <w:rsid w:val="00CA7DAA"/>
    <w:rsid w:val="00CB0B5A"/>
    <w:rsid w:val="00CF0F9F"/>
    <w:rsid w:val="00CF6A2D"/>
    <w:rsid w:val="00D04826"/>
    <w:rsid w:val="00D419AD"/>
    <w:rsid w:val="00D53415"/>
    <w:rsid w:val="00D63908"/>
    <w:rsid w:val="00D83C55"/>
    <w:rsid w:val="00D8718A"/>
    <w:rsid w:val="00D93453"/>
    <w:rsid w:val="00D95A4D"/>
    <w:rsid w:val="00DA56BA"/>
    <w:rsid w:val="00DB3CC0"/>
    <w:rsid w:val="00DC524D"/>
    <w:rsid w:val="00DC74FD"/>
    <w:rsid w:val="00DF4937"/>
    <w:rsid w:val="00E071D6"/>
    <w:rsid w:val="00E22893"/>
    <w:rsid w:val="00E46DAE"/>
    <w:rsid w:val="00E64554"/>
    <w:rsid w:val="00E70998"/>
    <w:rsid w:val="00E83454"/>
    <w:rsid w:val="00EC0F03"/>
    <w:rsid w:val="00ED3E0F"/>
    <w:rsid w:val="00EE040A"/>
    <w:rsid w:val="00EF2611"/>
    <w:rsid w:val="00EF60A8"/>
    <w:rsid w:val="00F015E4"/>
    <w:rsid w:val="00F11231"/>
    <w:rsid w:val="00F139BB"/>
    <w:rsid w:val="00F57F82"/>
    <w:rsid w:val="00F75224"/>
    <w:rsid w:val="00F76D4B"/>
    <w:rsid w:val="00F91EAE"/>
    <w:rsid w:val="00FA0734"/>
    <w:rsid w:val="00FA086C"/>
    <w:rsid w:val="00FA2093"/>
    <w:rsid w:val="00FA357A"/>
    <w:rsid w:val="037D0BC8"/>
    <w:rsid w:val="042F6047"/>
    <w:rsid w:val="04664B3D"/>
    <w:rsid w:val="068E2CFA"/>
    <w:rsid w:val="06B936EE"/>
    <w:rsid w:val="0845082D"/>
    <w:rsid w:val="09A949AC"/>
    <w:rsid w:val="09E965F2"/>
    <w:rsid w:val="0AA449E9"/>
    <w:rsid w:val="0B102A81"/>
    <w:rsid w:val="0BA064F8"/>
    <w:rsid w:val="0C6A0A91"/>
    <w:rsid w:val="139840D3"/>
    <w:rsid w:val="143E091F"/>
    <w:rsid w:val="14865FC8"/>
    <w:rsid w:val="150C2DB0"/>
    <w:rsid w:val="1E761F05"/>
    <w:rsid w:val="1FC7205C"/>
    <w:rsid w:val="228B3D05"/>
    <w:rsid w:val="22E03436"/>
    <w:rsid w:val="284E74F8"/>
    <w:rsid w:val="28D54690"/>
    <w:rsid w:val="2ADB48E8"/>
    <w:rsid w:val="34A91CA3"/>
    <w:rsid w:val="36687282"/>
    <w:rsid w:val="379E1960"/>
    <w:rsid w:val="37A63746"/>
    <w:rsid w:val="38EF7AD8"/>
    <w:rsid w:val="3ADE2C55"/>
    <w:rsid w:val="3E1672E6"/>
    <w:rsid w:val="40AD1A5A"/>
    <w:rsid w:val="415F08D8"/>
    <w:rsid w:val="44E2230F"/>
    <w:rsid w:val="48B51347"/>
    <w:rsid w:val="491B45FA"/>
    <w:rsid w:val="498E5AB3"/>
    <w:rsid w:val="4A55216A"/>
    <w:rsid w:val="4FE0696A"/>
    <w:rsid w:val="55673508"/>
    <w:rsid w:val="55F0731D"/>
    <w:rsid w:val="59595A6F"/>
    <w:rsid w:val="599330CA"/>
    <w:rsid w:val="60164D95"/>
    <w:rsid w:val="60D5009F"/>
    <w:rsid w:val="61260FA6"/>
    <w:rsid w:val="64AC2E11"/>
    <w:rsid w:val="660721C9"/>
    <w:rsid w:val="661E6C75"/>
    <w:rsid w:val="67F75FF5"/>
    <w:rsid w:val="681D4831"/>
    <w:rsid w:val="692E4B19"/>
    <w:rsid w:val="69513EF7"/>
    <w:rsid w:val="6A8E5E0D"/>
    <w:rsid w:val="6BF3256F"/>
    <w:rsid w:val="6CE7018A"/>
    <w:rsid w:val="6E222DB1"/>
    <w:rsid w:val="6E3E3F2D"/>
    <w:rsid w:val="715B2F02"/>
    <w:rsid w:val="76A548F2"/>
    <w:rsid w:val="7765772E"/>
    <w:rsid w:val="77867685"/>
    <w:rsid w:val="781F36B6"/>
    <w:rsid w:val="78D665C9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眉 Char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标题 1 字符"/>
    <w:basedOn w:val="10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15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Char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B439-C492-4B82-A98E-EED602740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1723</Words>
  <Characters>1779</Characters>
  <Lines>13</Lines>
  <Paragraphs>3</Paragraphs>
  <TotalTime>0</TotalTime>
  <ScaleCrop>false</ScaleCrop>
  <LinksUpToDate>false</LinksUpToDate>
  <CharactersWithSpaces>1793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2023-04-20T03:21:00Z</dcterms:created>
  <dc:creator>lhn</dc:creator>
  <cp:lastModifiedBy>86134</cp:lastModifiedBy>
  <cp:lastPrinted>2020-02-28T05:55:00Z</cp:lastPrinted>
  <dcterms:modified xsi:type="dcterms:W3CDTF">2023-06-08T04:07:02Z</dcterms:modified>
  <dc:title>财政支出绩效评价报告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B6B92367CE064D988AAEE17CFA539198_12</vt:lpwstr>
  </property>
</Properties>
</file>